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24D" w:rsidRDefault="00FB524D"/>
    <w:p w:rsidR="00FB524D" w:rsidRDefault="00FB524D"/>
    <w:p w:rsidR="00FB524D" w:rsidRDefault="007870F8" w:rsidP="007870F8">
      <w:pPr>
        <w:jc w:val="center"/>
        <w:rPr>
          <w:b/>
          <w:sz w:val="40"/>
          <w:szCs w:val="40"/>
          <w:u w:val="single"/>
        </w:rPr>
      </w:pPr>
      <w:r>
        <w:rPr>
          <w:b/>
          <w:sz w:val="40"/>
          <w:szCs w:val="40"/>
          <w:u w:val="single"/>
        </w:rPr>
        <w:t>THE ULTIMATE COMPLIANCE CHECKLIST</w:t>
      </w:r>
    </w:p>
    <w:p w:rsidR="007870F8" w:rsidRPr="00F47D73" w:rsidRDefault="007870F8" w:rsidP="007870F8">
      <w:pPr>
        <w:jc w:val="center"/>
        <w:rPr>
          <w:b/>
          <w:sz w:val="28"/>
          <w:szCs w:val="28"/>
          <w:u w:val="single"/>
        </w:rPr>
      </w:pPr>
    </w:p>
    <w:p w:rsidR="00FF3591" w:rsidRDefault="00FF3591" w:rsidP="007870F8">
      <w:pPr>
        <w:jc w:val="center"/>
        <w:rPr>
          <w:b/>
          <w:sz w:val="28"/>
          <w:szCs w:val="28"/>
        </w:rPr>
      </w:pPr>
      <w:r>
        <w:rPr>
          <w:b/>
          <w:sz w:val="28"/>
          <w:szCs w:val="28"/>
        </w:rPr>
        <w:t>Steve Levine, Chief Legal Officer</w:t>
      </w:r>
    </w:p>
    <w:p w:rsidR="00FF3591" w:rsidRPr="00FF3591" w:rsidRDefault="00FF3591" w:rsidP="007870F8">
      <w:pPr>
        <w:jc w:val="center"/>
        <w:rPr>
          <w:b/>
          <w:sz w:val="28"/>
          <w:szCs w:val="28"/>
        </w:rPr>
      </w:pPr>
      <w:bookmarkStart w:id="0" w:name="_GoBack"/>
      <w:bookmarkEnd w:id="0"/>
    </w:p>
    <w:p w:rsidR="007870F8" w:rsidRDefault="007870F8" w:rsidP="007870F8">
      <w:pPr>
        <w:spacing w:line="240" w:lineRule="auto"/>
        <w:jc w:val="center"/>
        <w:rPr>
          <w:rFonts w:eastAsia="Times New Roman" w:cs="Times New Roman"/>
          <w:b/>
          <w:bCs/>
          <w:sz w:val="24"/>
          <w:szCs w:val="40"/>
          <w:u w:val="single"/>
        </w:rPr>
      </w:pPr>
      <w:r>
        <w:t xml:space="preserve"> </w:t>
      </w:r>
      <w:r>
        <w:rPr>
          <w:rFonts w:eastAsia="Times New Roman" w:cs="Times New Roman"/>
          <w:b/>
          <w:bCs/>
          <w:sz w:val="24"/>
          <w:szCs w:val="40"/>
          <w:u w:val="single"/>
        </w:rPr>
        <w:t>General Considerations</w:t>
      </w:r>
    </w:p>
    <w:p w:rsidR="007870F8" w:rsidRDefault="007870F8" w:rsidP="007870F8">
      <w:pPr>
        <w:spacing w:line="240" w:lineRule="auto"/>
        <w:jc w:val="center"/>
        <w:rPr>
          <w:rFonts w:eastAsia="Times New Roman" w:cs="Times New Roman"/>
          <w:b/>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Are you properly organized under the law (corporation or LLC) to insulate yourself from personal liability?</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you set up a related finance company (“RFC”) for legal and accounting benefits?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you obtained all licenses for your dealership and RFC to enter into the transactions you intend to enter into, such as retail installment contracts, side notes, financing of repairs, or loans?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If</w:t>
      </w:r>
      <w:proofErr w:type="gramEnd"/>
      <w:r>
        <w:rPr>
          <w:rFonts w:eastAsia="Times New Roman" w:cs="Times New Roman"/>
          <w:bCs/>
          <w:sz w:val="24"/>
          <w:szCs w:val="40"/>
        </w:rPr>
        <w:t xml:space="preserve"> you have an RFC, is it licensed to hold and service the accounts?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you given thought to obtaining Errors and Omissions Insurance Coverage to avoid “bet the company” risk?</w:t>
      </w:r>
    </w:p>
    <w:p w:rsidR="007870F8" w:rsidRDefault="007870F8" w:rsidP="007870F8">
      <w:pPr>
        <w:spacing w:line="240" w:lineRule="auto"/>
        <w:ind w:left="1440"/>
        <w:rPr>
          <w:rFonts w:eastAsia="Times New Roman" w:cs="Times New Roman"/>
          <w:bCs/>
          <w:sz w:val="24"/>
          <w:szCs w:val="40"/>
        </w:rPr>
      </w:pPr>
    </w:p>
    <w:p w:rsidR="007870F8" w:rsidRDefault="007870F8" w:rsidP="007870F8">
      <w:pPr>
        <w:spacing w:line="240" w:lineRule="auto"/>
        <w:jc w:val="center"/>
        <w:rPr>
          <w:rFonts w:eastAsia="Times New Roman" w:cs="Times New Roman"/>
          <w:b/>
          <w:bCs/>
          <w:sz w:val="24"/>
          <w:szCs w:val="40"/>
          <w:u w:val="single"/>
        </w:rPr>
      </w:pPr>
      <w:r>
        <w:rPr>
          <w:rFonts w:eastAsia="Times New Roman" w:cs="Times New Roman"/>
          <w:b/>
          <w:bCs/>
          <w:sz w:val="24"/>
          <w:szCs w:val="40"/>
          <w:u w:val="single"/>
        </w:rPr>
        <w:t>Don’t Open Your Doors Unless You…</w:t>
      </w:r>
    </w:p>
    <w:p w:rsidR="007870F8" w:rsidRDefault="007870F8" w:rsidP="007870F8">
      <w:pPr>
        <w:spacing w:line="240" w:lineRule="auto"/>
        <w:jc w:val="center"/>
        <w:rPr>
          <w:rFonts w:eastAsia="Times New Roman" w:cs="Times New Roman"/>
          <w:b/>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a qualified lawyer and accountant with relevant industry experience on speed dial;</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Appoint a qualified Compliance Officer;</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 xml:space="preserve">____ </w:t>
      </w:r>
      <w:r>
        <w:rPr>
          <w:rFonts w:eastAsia="Times New Roman" w:cs="Times New Roman"/>
          <w:bCs/>
          <w:sz w:val="24"/>
          <w:szCs w:val="40"/>
        </w:rPr>
        <w:tab/>
        <w:t>Appoint a qualified Privacy Officer;</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Have</w:t>
      </w:r>
      <w:proofErr w:type="gramEnd"/>
      <w:r>
        <w:rPr>
          <w:rFonts w:eastAsia="Times New Roman" w:cs="Times New Roman"/>
          <w:bCs/>
          <w:sz w:val="24"/>
          <w:szCs w:val="40"/>
        </w:rPr>
        <w:t xml:space="preserve"> identified qualified technology providers such as Dealer Management Software providers and other tools to efficiently run the business;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Know how each of the following impacts your business: GLB, TILA, ECOA, FCRA, FTC, CFPB, OFAC, and UDAP;</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Confidentiality Agreements with all Vendors with access to premises and personally identifiable customer information such as cleaning crew and IT administrators;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a qualified lawyer review any advertising, including website and social media;</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Establish a hiring process which includes a job application that offers protection, approved questions for interviews, and strategy to hire subject matter experts;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Develop employment contracts with confidentiality and non-solicitation provisions and accurate job descriptions with acknowledgement by employee;</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Create an Employee Manual, which includes policies to follow, relevant laws, a policy on document and information security, and code of conduct, at a minimum;</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Determine your “Red Flag” obligations and how you will safeguard customer information;</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lastRenderedPageBreak/>
        <w:t>____</w:t>
      </w:r>
      <w:r>
        <w:rPr>
          <w:rFonts w:eastAsia="Times New Roman" w:cs="Times New Roman"/>
          <w:bCs/>
          <w:sz w:val="24"/>
          <w:szCs w:val="40"/>
        </w:rPr>
        <w:tab/>
        <w:t>Determine how you will create a secure area for storage of both paper and computer based information and restrict access.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Establish</w:t>
      </w:r>
      <w:proofErr w:type="gramEnd"/>
      <w:r>
        <w:rPr>
          <w:rFonts w:eastAsia="Times New Roman" w:cs="Times New Roman"/>
          <w:bCs/>
          <w:sz w:val="24"/>
          <w:szCs w:val="40"/>
        </w:rPr>
        <w:t xml:space="preserve"> a policy for accepting both cash and credit card information and know how you will report cash transactions over $ 10K (IRS form 8300).</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If</w:t>
      </w:r>
      <w:proofErr w:type="gramEnd"/>
      <w:r>
        <w:rPr>
          <w:rFonts w:eastAsia="Times New Roman" w:cs="Times New Roman"/>
          <w:bCs/>
          <w:sz w:val="24"/>
          <w:szCs w:val="40"/>
        </w:rPr>
        <w:t xml:space="preserve"> you will be reporting to credit reporting agencies, know how to safely and accurately report your account information;</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Learn your relevant state regulator’s “do’s and don’ts”;</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Know</w:t>
      </w:r>
      <w:proofErr w:type="gramEnd"/>
      <w:r>
        <w:rPr>
          <w:rFonts w:eastAsia="Times New Roman" w:cs="Times New Roman"/>
          <w:bCs/>
          <w:sz w:val="24"/>
          <w:szCs w:val="40"/>
        </w:rPr>
        <w:t xml:space="preserve"> your record retention obligations and have a plan to comply;</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 xml:space="preserve">Know how you will comply with </w:t>
      </w:r>
      <w:r>
        <w:rPr>
          <w:rFonts w:eastAsia="Times New Roman" w:cs="Times New Roman"/>
          <w:bCs/>
          <w:sz w:val="24"/>
          <w:szCs w:val="40"/>
          <w:u w:val="single"/>
        </w:rPr>
        <w:t>Service Member’s Civil Relief Act</w:t>
      </w:r>
      <w:r>
        <w:rPr>
          <w:rFonts w:eastAsia="Times New Roman" w:cs="Times New Roman"/>
          <w:bCs/>
          <w:sz w:val="24"/>
          <w:szCs w:val="40"/>
        </w:rPr>
        <w:t xml:space="preserve"> requirements.</w:t>
      </w: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jc w:val="center"/>
        <w:rPr>
          <w:rFonts w:eastAsia="Times New Roman" w:cs="Times New Roman"/>
          <w:b/>
          <w:bCs/>
          <w:sz w:val="24"/>
          <w:szCs w:val="40"/>
          <w:u w:val="single"/>
        </w:rPr>
      </w:pPr>
      <w:r>
        <w:rPr>
          <w:rFonts w:eastAsia="Times New Roman" w:cs="Times New Roman"/>
          <w:b/>
          <w:bCs/>
          <w:sz w:val="24"/>
          <w:szCs w:val="40"/>
          <w:u w:val="single"/>
        </w:rPr>
        <w:t>Originating the Transaction – The Preliminaries</w:t>
      </w: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Make sure your credit application is up to date with FCRA and ECOA requirements and contains permission for text, cell phone and email contact throughout the life of the account;</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Understand the legal obligations under FCRA and ECOA regarding adverse action and make sure letters are up to date, correct reasons are provided, and employees are consistent in their logic and use;</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Understand whether your business model triggers a “risk based pricing” notice;</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 xml:space="preserve">Make sure Buyer’s Guides are located on every vehicle available for sale and obligations under </w:t>
      </w:r>
      <w:r>
        <w:rPr>
          <w:rFonts w:eastAsia="Times New Roman" w:cs="Times New Roman"/>
          <w:bCs/>
          <w:sz w:val="24"/>
          <w:szCs w:val="40"/>
          <w:u w:val="single"/>
        </w:rPr>
        <w:t>Used Car Rule</w:t>
      </w:r>
      <w:r>
        <w:rPr>
          <w:rFonts w:eastAsia="Times New Roman" w:cs="Times New Roman"/>
          <w:bCs/>
          <w:sz w:val="24"/>
          <w:szCs w:val="40"/>
        </w:rPr>
        <w:t xml:space="preserve"> are understood;</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Compliant and effective Credit Underwriting and Fair Lending policy.</w:t>
      </w: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jc w:val="center"/>
        <w:rPr>
          <w:rFonts w:eastAsia="Times New Roman" w:cs="Times New Roman"/>
          <w:b/>
          <w:bCs/>
          <w:sz w:val="24"/>
          <w:szCs w:val="40"/>
          <w:u w:val="single"/>
        </w:rPr>
      </w:pPr>
      <w:r>
        <w:rPr>
          <w:rFonts w:eastAsia="Times New Roman" w:cs="Times New Roman"/>
          <w:b/>
          <w:bCs/>
          <w:sz w:val="24"/>
          <w:szCs w:val="40"/>
          <w:u w:val="single"/>
        </w:rPr>
        <w:t xml:space="preserve">Originating the Transaction – “We’ve </w:t>
      </w:r>
      <w:proofErr w:type="gramStart"/>
      <w:r>
        <w:rPr>
          <w:rFonts w:eastAsia="Times New Roman" w:cs="Times New Roman"/>
          <w:b/>
          <w:bCs/>
          <w:sz w:val="24"/>
          <w:szCs w:val="40"/>
          <w:u w:val="single"/>
        </w:rPr>
        <w:t>Got</w:t>
      </w:r>
      <w:proofErr w:type="gramEnd"/>
      <w:r>
        <w:rPr>
          <w:rFonts w:eastAsia="Times New Roman" w:cs="Times New Roman"/>
          <w:b/>
          <w:bCs/>
          <w:sz w:val="24"/>
          <w:szCs w:val="40"/>
          <w:u w:val="single"/>
        </w:rPr>
        <w:t xml:space="preserve"> a Deal”</w:t>
      </w:r>
    </w:p>
    <w:p w:rsidR="007870F8" w:rsidRDefault="007870F8" w:rsidP="007870F8">
      <w:pPr>
        <w:spacing w:line="240" w:lineRule="auto"/>
        <w:jc w:val="center"/>
        <w:rPr>
          <w:rFonts w:eastAsia="Times New Roman" w:cs="Times New Roman"/>
          <w:b/>
          <w:bCs/>
          <w:sz w:val="24"/>
          <w:szCs w:val="40"/>
        </w:rPr>
      </w:pP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Originating practices must be consistent with floor plan covenants;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 xml:space="preserve">Have </w:t>
      </w:r>
      <w:r>
        <w:rPr>
          <w:rFonts w:eastAsia="Times New Roman" w:cs="Times New Roman"/>
          <w:bCs/>
          <w:sz w:val="24"/>
          <w:szCs w:val="40"/>
          <w:u w:val="single"/>
        </w:rPr>
        <w:t>each and every</w:t>
      </w:r>
      <w:r>
        <w:rPr>
          <w:rFonts w:eastAsia="Times New Roman" w:cs="Times New Roman"/>
          <w:bCs/>
          <w:sz w:val="24"/>
          <w:szCs w:val="40"/>
        </w:rPr>
        <w:t xml:space="preserve"> form that will be presented to a customer examined by a compliance lawyer;</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a compliance lawyer bless each and every fee you wish to charge;</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Make sure your RISC form (lease, loan, etc.) is up to date and DMS programming matches the form. Examples include but are not limited to rebate method, treatment of interest, payment hierarchy and application, and late fees and NSF fees;</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How</w:t>
      </w:r>
      <w:proofErr w:type="gramEnd"/>
      <w:r>
        <w:rPr>
          <w:rFonts w:eastAsia="Times New Roman" w:cs="Times New Roman"/>
          <w:bCs/>
          <w:sz w:val="24"/>
          <w:szCs w:val="40"/>
        </w:rPr>
        <w:t xml:space="preserve"> will initial and annual privacy policy be delivered? </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Use a robust “spot delivery” form, if allowed by state law;</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 xml:space="preserve">____ </w:t>
      </w:r>
      <w:r>
        <w:rPr>
          <w:rFonts w:eastAsia="Times New Roman" w:cs="Times New Roman"/>
          <w:bCs/>
          <w:sz w:val="24"/>
          <w:szCs w:val="40"/>
        </w:rPr>
        <w:tab/>
      </w:r>
      <w:proofErr w:type="gramStart"/>
      <w:r>
        <w:rPr>
          <w:rFonts w:eastAsia="Times New Roman" w:cs="Times New Roman"/>
          <w:bCs/>
          <w:sz w:val="24"/>
          <w:szCs w:val="40"/>
        </w:rPr>
        <w:t>If</w:t>
      </w:r>
      <w:proofErr w:type="gramEnd"/>
      <w:r>
        <w:rPr>
          <w:rFonts w:eastAsia="Times New Roman" w:cs="Times New Roman"/>
          <w:bCs/>
          <w:sz w:val="24"/>
          <w:szCs w:val="40"/>
        </w:rPr>
        <w:t xml:space="preserve"> using a “we owe” form, make sure it is accurate and specific;</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Use GPS/starter interrupt disclosure forms and make sure they are consistent with rest of deal package;</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Use an arbitration clause, either in the transaction document or separately;</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Know whether you are in a “single document” state;</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If</w:t>
      </w:r>
      <w:proofErr w:type="gramEnd"/>
      <w:r>
        <w:rPr>
          <w:rFonts w:eastAsia="Times New Roman" w:cs="Times New Roman"/>
          <w:bCs/>
          <w:sz w:val="24"/>
          <w:szCs w:val="40"/>
        </w:rPr>
        <w:t xml:space="preserve"> offering various F&amp;I products, consider “menu” selling;</w:t>
      </w: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Use training and policy manuals to make sure that all sales and F&amp;I personnel understand importance of transparency, disclosure, and consistency in consumer dealings;</w:t>
      </w: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jc w:val="center"/>
        <w:rPr>
          <w:rFonts w:eastAsia="Times New Roman" w:cs="Times New Roman"/>
          <w:b/>
          <w:bCs/>
          <w:sz w:val="24"/>
          <w:szCs w:val="40"/>
          <w:u w:val="single"/>
        </w:rPr>
      </w:pPr>
      <w:r>
        <w:rPr>
          <w:rFonts w:eastAsia="Times New Roman" w:cs="Times New Roman"/>
          <w:b/>
          <w:bCs/>
          <w:sz w:val="24"/>
          <w:szCs w:val="40"/>
          <w:u w:val="single"/>
        </w:rPr>
        <w:t xml:space="preserve">Servicing </w:t>
      </w:r>
      <w:r w:rsidR="00FF3591">
        <w:rPr>
          <w:rFonts w:eastAsia="Times New Roman" w:cs="Times New Roman"/>
          <w:b/>
          <w:bCs/>
          <w:sz w:val="24"/>
          <w:szCs w:val="40"/>
          <w:u w:val="single"/>
        </w:rPr>
        <w:t xml:space="preserve">and Collecting </w:t>
      </w:r>
      <w:r>
        <w:rPr>
          <w:rFonts w:eastAsia="Times New Roman" w:cs="Times New Roman"/>
          <w:b/>
          <w:bCs/>
          <w:sz w:val="24"/>
          <w:szCs w:val="40"/>
          <w:u w:val="single"/>
        </w:rPr>
        <w:t>of Accounts</w:t>
      </w:r>
    </w:p>
    <w:p w:rsidR="007870F8" w:rsidRDefault="007870F8" w:rsidP="007870F8">
      <w:pPr>
        <w:spacing w:line="240" w:lineRule="auto"/>
        <w:jc w:val="center"/>
        <w:rPr>
          <w:rFonts w:eastAsia="Times New Roman" w:cs="Times New Roman"/>
          <w:bCs/>
          <w:sz w:val="24"/>
          <w:szCs w:val="40"/>
          <w:u w:val="single"/>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 xml:space="preserve">____ </w:t>
      </w:r>
      <w:r>
        <w:rPr>
          <w:rFonts w:eastAsia="Times New Roman" w:cs="Times New Roman"/>
          <w:bCs/>
          <w:sz w:val="24"/>
          <w:szCs w:val="40"/>
        </w:rPr>
        <w:tab/>
        <w:t>Have a compliance attorney review every form letter or other communication;</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Adopt and implement a Collections/Servicing Manual and consistent collections training materials;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Learn relevant state and federal collection laws and what dealers get sued for in your community;</w:t>
      </w:r>
    </w:p>
    <w:p w:rsidR="007870F8" w:rsidRDefault="007870F8" w:rsidP="007870F8">
      <w:pPr>
        <w:spacing w:line="240" w:lineRule="auto"/>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Restrict employees’ ability to draft collection letters, texts and emails;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Provide customers with several different payment portals (IVR, text, ACH) to gain efficiency and cut down on conflict;</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Adopt and implement a Complaint Management Policy and process to resolve customer complaints and document the process;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a process for accurately providing payoff quotes and consider privacy implications;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r>
      <w:proofErr w:type="gramStart"/>
      <w:r>
        <w:rPr>
          <w:rFonts w:eastAsia="Times New Roman" w:cs="Times New Roman"/>
          <w:bCs/>
          <w:sz w:val="24"/>
          <w:szCs w:val="40"/>
        </w:rPr>
        <w:t>Be</w:t>
      </w:r>
      <w:proofErr w:type="gramEnd"/>
      <w:r>
        <w:rPr>
          <w:rFonts w:eastAsia="Times New Roman" w:cs="Times New Roman"/>
          <w:bCs/>
          <w:sz w:val="24"/>
          <w:szCs w:val="40"/>
        </w:rPr>
        <w:t xml:space="preserve"> sure collectors know the rules about communicating with third parties;</w:t>
      </w: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Policies for releasing titles and possibly providing original documentation must be in compliance with state laws;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 xml:space="preserve">Be aware of consumer bankruptcy issues, such as the automatic stay, the differences between Ch. 7 and 13; “cram down” rules in your jurisdiction, reaffirmation agreements, specialized servicing issues, </w:t>
      </w:r>
      <w:proofErr w:type="spellStart"/>
      <w:r>
        <w:rPr>
          <w:rFonts w:eastAsia="Times New Roman" w:cs="Times New Roman"/>
          <w:bCs/>
          <w:sz w:val="24"/>
          <w:szCs w:val="40"/>
        </w:rPr>
        <w:t>etc</w:t>
      </w:r>
      <w:proofErr w:type="spellEnd"/>
      <w:r>
        <w:rPr>
          <w:rFonts w:eastAsia="Times New Roman" w:cs="Times New Roman"/>
          <w:bCs/>
          <w:sz w:val="24"/>
          <w:szCs w:val="40"/>
        </w:rPr>
        <w:t>;</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Know how your DMS identifies bankruptcy accounts and tracks trustee or reaffirmation payments;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 xml:space="preserve">Know your obligations under the </w:t>
      </w:r>
      <w:r>
        <w:rPr>
          <w:rFonts w:eastAsia="Times New Roman" w:cs="Times New Roman"/>
          <w:bCs/>
          <w:sz w:val="24"/>
          <w:szCs w:val="40"/>
          <w:u w:val="single"/>
        </w:rPr>
        <w:t>Service Members Civil Relief Act</w:t>
      </w:r>
      <w:r>
        <w:rPr>
          <w:rFonts w:eastAsia="Times New Roman" w:cs="Times New Roman"/>
          <w:bCs/>
          <w:sz w:val="24"/>
          <w:szCs w:val="40"/>
        </w:rPr>
        <w:t xml:space="preserve"> (SCRA), including when it applies, who can exercise its benefits, and how the DMS handles interest rate/payment reductions;</w:t>
      </w: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jc w:val="center"/>
        <w:rPr>
          <w:rFonts w:eastAsia="Times New Roman" w:cs="Times New Roman"/>
          <w:b/>
          <w:bCs/>
          <w:sz w:val="24"/>
          <w:szCs w:val="40"/>
          <w:u w:val="single"/>
        </w:rPr>
      </w:pPr>
      <w:r>
        <w:rPr>
          <w:rFonts w:eastAsia="Times New Roman" w:cs="Times New Roman"/>
          <w:b/>
          <w:bCs/>
          <w:sz w:val="24"/>
          <w:szCs w:val="40"/>
          <w:u w:val="single"/>
        </w:rPr>
        <w:t>Know the Rules of Repossession</w:t>
      </w:r>
    </w:p>
    <w:p w:rsidR="007870F8" w:rsidRDefault="007870F8" w:rsidP="007870F8">
      <w:pPr>
        <w:spacing w:line="240" w:lineRule="auto"/>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 xml:space="preserve">____ </w:t>
      </w:r>
      <w:r>
        <w:rPr>
          <w:rFonts w:eastAsia="Times New Roman" w:cs="Times New Roman"/>
          <w:bCs/>
          <w:sz w:val="24"/>
          <w:szCs w:val="40"/>
        </w:rPr>
        <w:tab/>
        <w:t>Have rigorous contracts with any third-party repossession agents and make sure they are sufficiently bonded and insured to insulate you from liability;</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Verify your own errors and omissions policy will protect you from wrongful acts of agents;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Have an objective criteria setting forth criteria for repossession of accounts;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Know local customs for notifying police, definition of “breach of peace”, storing of vehicle and charging for personal belongings;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Know if there is a right to cure requirement prior to repossession.</w:t>
      </w: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Make sure you haven’t waived your right to repossess by accepting late payments on a regular basis;</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If forced to utilize judicial repossession, do a cost-benefit analysis up front, beware of counter-claims and know if local law requires you to obtain judgment;</w:t>
      </w:r>
    </w:p>
    <w:p w:rsidR="007870F8" w:rsidRDefault="007870F8" w:rsidP="007870F8">
      <w:pPr>
        <w:spacing w:line="240" w:lineRule="auto"/>
        <w:ind w:left="720" w:hanging="720"/>
        <w:rPr>
          <w:rFonts w:eastAsia="Times New Roman" w:cs="Times New Roman"/>
          <w:bCs/>
          <w:sz w:val="24"/>
          <w:szCs w:val="40"/>
        </w:rPr>
      </w:pPr>
      <w:r>
        <w:rPr>
          <w:rFonts w:eastAsia="Times New Roman" w:cs="Times New Roman"/>
          <w:bCs/>
          <w:sz w:val="24"/>
          <w:szCs w:val="40"/>
        </w:rPr>
        <w:t>____</w:t>
      </w:r>
      <w:r>
        <w:rPr>
          <w:rFonts w:eastAsia="Times New Roman" w:cs="Times New Roman"/>
          <w:bCs/>
          <w:sz w:val="24"/>
          <w:szCs w:val="40"/>
        </w:rPr>
        <w:tab/>
        <w:t>Beware of wide range of Article 9 of Uniform Commercial Code issues and consider:</w:t>
      </w:r>
    </w:p>
    <w:p w:rsidR="007870F8" w:rsidRDefault="007870F8" w:rsidP="007870F8">
      <w:pPr>
        <w:spacing w:line="240" w:lineRule="auto"/>
        <w:ind w:left="720" w:hanging="720"/>
        <w:rPr>
          <w:rFonts w:eastAsia="Times New Roman" w:cs="Times New Roman"/>
          <w:bCs/>
          <w:sz w:val="24"/>
          <w:szCs w:val="40"/>
        </w:rPr>
      </w:pPr>
    </w:p>
    <w:p w:rsidR="007870F8" w:rsidRDefault="007870F8" w:rsidP="007870F8">
      <w:pPr>
        <w:numPr>
          <w:ilvl w:val="2"/>
          <w:numId w:val="1"/>
        </w:numPr>
        <w:spacing w:line="240" w:lineRule="auto"/>
        <w:rPr>
          <w:rFonts w:eastAsia="Times New Roman" w:cs="Times New Roman"/>
          <w:bCs/>
          <w:sz w:val="24"/>
          <w:szCs w:val="40"/>
        </w:rPr>
      </w:pPr>
      <w:r>
        <w:rPr>
          <w:rFonts w:eastAsia="Times New Roman" w:cs="Times New Roman"/>
          <w:bCs/>
          <w:sz w:val="24"/>
          <w:szCs w:val="40"/>
        </w:rPr>
        <w:t>Post repossession notice and notice of intent to sell letters have very specific state law requirements and must be consistent with business practices;</w:t>
      </w:r>
    </w:p>
    <w:p w:rsidR="007870F8" w:rsidRDefault="007870F8" w:rsidP="007870F8">
      <w:pPr>
        <w:numPr>
          <w:ilvl w:val="2"/>
          <w:numId w:val="1"/>
        </w:numPr>
        <w:spacing w:line="240" w:lineRule="auto"/>
        <w:rPr>
          <w:rFonts w:eastAsia="Times New Roman" w:cs="Times New Roman"/>
          <w:bCs/>
          <w:sz w:val="24"/>
          <w:szCs w:val="40"/>
        </w:rPr>
      </w:pPr>
      <w:r>
        <w:rPr>
          <w:rFonts w:eastAsia="Times New Roman" w:cs="Times New Roman"/>
          <w:bCs/>
          <w:sz w:val="24"/>
          <w:szCs w:val="40"/>
        </w:rPr>
        <w:t>Know difference between “public” vs. “private” auction, and are your business practices reflected in your letter (i.e. dealer only auctions are not “public” in most jurisdictions);</w:t>
      </w:r>
    </w:p>
    <w:p w:rsidR="007870F8" w:rsidRDefault="007870F8" w:rsidP="007870F8">
      <w:pPr>
        <w:numPr>
          <w:ilvl w:val="2"/>
          <w:numId w:val="1"/>
        </w:numPr>
        <w:spacing w:line="240" w:lineRule="auto"/>
        <w:rPr>
          <w:rFonts w:eastAsia="Times New Roman" w:cs="Times New Roman"/>
          <w:bCs/>
          <w:sz w:val="24"/>
          <w:szCs w:val="40"/>
        </w:rPr>
      </w:pPr>
      <w:r>
        <w:rPr>
          <w:rFonts w:eastAsia="Times New Roman" w:cs="Times New Roman"/>
          <w:bCs/>
          <w:sz w:val="24"/>
          <w:szCs w:val="40"/>
        </w:rPr>
        <w:t>Leaving vehicle on your lot to resell is not a public auction and even such private sale can be attacked;</w:t>
      </w:r>
    </w:p>
    <w:p w:rsidR="007870F8" w:rsidRDefault="007870F8" w:rsidP="007870F8">
      <w:pPr>
        <w:numPr>
          <w:ilvl w:val="2"/>
          <w:numId w:val="1"/>
        </w:numPr>
        <w:spacing w:line="240" w:lineRule="auto"/>
        <w:rPr>
          <w:rFonts w:eastAsia="Times New Roman" w:cs="Times New Roman"/>
          <w:bCs/>
          <w:sz w:val="24"/>
          <w:szCs w:val="40"/>
        </w:rPr>
      </w:pPr>
      <w:r>
        <w:rPr>
          <w:rFonts w:eastAsia="Times New Roman" w:cs="Times New Roman"/>
          <w:bCs/>
          <w:sz w:val="24"/>
          <w:szCs w:val="40"/>
        </w:rPr>
        <w:t>Should you take advantage of “strict foreclosure”, when available, and what rights are lost?</w:t>
      </w:r>
    </w:p>
    <w:p w:rsidR="007870F8" w:rsidRDefault="007870F8" w:rsidP="007870F8">
      <w:pPr>
        <w:numPr>
          <w:ilvl w:val="2"/>
          <w:numId w:val="1"/>
        </w:numPr>
        <w:spacing w:line="240" w:lineRule="auto"/>
        <w:rPr>
          <w:rFonts w:eastAsia="Times New Roman" w:cs="Times New Roman"/>
          <w:bCs/>
          <w:sz w:val="24"/>
          <w:szCs w:val="40"/>
        </w:rPr>
      </w:pPr>
      <w:r>
        <w:rPr>
          <w:rFonts w:eastAsia="Times New Roman" w:cs="Times New Roman"/>
          <w:bCs/>
          <w:sz w:val="24"/>
          <w:szCs w:val="40"/>
        </w:rPr>
        <w:t>Make sure surplus and deficiency letters are accurately calculated and are consistent with actual business practices.</w:t>
      </w:r>
    </w:p>
    <w:p w:rsidR="00FF3591" w:rsidRDefault="00FF3591" w:rsidP="007870F8">
      <w:pPr>
        <w:numPr>
          <w:ilvl w:val="2"/>
          <w:numId w:val="1"/>
        </w:numPr>
        <w:spacing w:line="240" w:lineRule="auto"/>
        <w:rPr>
          <w:rFonts w:eastAsia="Times New Roman" w:cs="Times New Roman"/>
          <w:bCs/>
          <w:sz w:val="24"/>
          <w:szCs w:val="40"/>
        </w:rPr>
      </w:pPr>
      <w:r>
        <w:rPr>
          <w:rFonts w:eastAsia="Times New Roman" w:cs="Times New Roman"/>
          <w:bCs/>
          <w:sz w:val="24"/>
          <w:szCs w:val="40"/>
        </w:rPr>
        <w:t>Know your form 1099-C obligations and when to provide.</w:t>
      </w:r>
    </w:p>
    <w:p w:rsidR="00FB524D" w:rsidRDefault="007870F8" w:rsidP="00C27FFD">
      <w:pPr>
        <w:numPr>
          <w:ilvl w:val="2"/>
          <w:numId w:val="1"/>
        </w:numPr>
        <w:spacing w:line="240" w:lineRule="auto"/>
      </w:pPr>
      <w:r w:rsidRPr="007870F8">
        <w:rPr>
          <w:rFonts w:eastAsia="Times New Roman" w:cs="Times New Roman"/>
          <w:bCs/>
          <w:sz w:val="24"/>
          <w:szCs w:val="40"/>
        </w:rPr>
        <w:t>How to report to credit bureaus and hidden causes of action.</w:t>
      </w:r>
    </w:p>
    <w:p w:rsidR="00FB524D" w:rsidRDefault="00FB524D"/>
    <w:p w:rsidR="00FB524D" w:rsidRDefault="00FB524D"/>
    <w:p w:rsidR="00FB524D" w:rsidRPr="00FF3591" w:rsidRDefault="00FF3591" w:rsidP="00FF3591">
      <w:pPr>
        <w:jc w:val="center"/>
        <w:rPr>
          <w:rFonts w:ascii="Times New Roman" w:hAnsi="Times New Roman" w:cs="Times New Roman"/>
          <w:b/>
          <w:color w:val="000000" w:themeColor="text1"/>
          <w:sz w:val="28"/>
          <w:szCs w:val="28"/>
        </w:rPr>
      </w:pPr>
      <w:r w:rsidRPr="00FF3591">
        <w:rPr>
          <w:rFonts w:ascii="Times New Roman" w:hAnsi="Times New Roman" w:cs="Times New Roman"/>
          <w:b/>
          <w:sz w:val="28"/>
          <w:szCs w:val="28"/>
        </w:rPr>
        <w:t xml:space="preserve">Please send additional </w:t>
      </w:r>
      <w:r w:rsidR="00F47D73">
        <w:rPr>
          <w:rFonts w:ascii="Times New Roman" w:hAnsi="Times New Roman" w:cs="Times New Roman"/>
          <w:b/>
          <w:sz w:val="28"/>
          <w:szCs w:val="28"/>
        </w:rPr>
        <w:t xml:space="preserve">checklist </w:t>
      </w:r>
      <w:r w:rsidRPr="00FF3591">
        <w:rPr>
          <w:rFonts w:ascii="Times New Roman" w:hAnsi="Times New Roman" w:cs="Times New Roman"/>
          <w:b/>
          <w:sz w:val="28"/>
          <w:szCs w:val="28"/>
        </w:rPr>
        <w:t xml:space="preserve">suggestions to </w:t>
      </w:r>
      <w:hyperlink r:id="rId8" w:history="1">
        <w:r w:rsidRPr="00FF3591">
          <w:rPr>
            <w:rStyle w:val="Hyperlink"/>
            <w:rFonts w:ascii="Times New Roman" w:hAnsi="Times New Roman" w:cs="Times New Roman"/>
            <w:b/>
            <w:color w:val="000000" w:themeColor="text1"/>
            <w:sz w:val="28"/>
            <w:szCs w:val="28"/>
          </w:rPr>
          <w:t>Steve.Levine@IgniteCP.com</w:t>
        </w:r>
      </w:hyperlink>
    </w:p>
    <w:p w:rsidR="00FB524D" w:rsidRPr="00FF3591" w:rsidRDefault="00FB524D">
      <w:pPr>
        <w:rPr>
          <w:color w:val="000000" w:themeColor="text1"/>
        </w:rPr>
      </w:pPr>
    </w:p>
    <w:p w:rsidR="00FB524D"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CONTINUE YOUR COMPLIANCE JOURNEY AND CONTACT US FOR:</w:t>
      </w:r>
    </w:p>
    <w:p w:rsidR="00FF3591" w:rsidRPr="00F47D73" w:rsidRDefault="00FF3591" w:rsidP="00FF3591">
      <w:pPr>
        <w:jc w:val="center"/>
        <w:rPr>
          <w:rFonts w:ascii="Times New Roman" w:hAnsi="Times New Roman" w:cs="Times New Roman"/>
          <w:b/>
          <w:sz w:val="28"/>
          <w:szCs w:val="28"/>
        </w:rPr>
      </w:pP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TRAINING;</w:t>
      </w: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POLICY AND PROCEDURE REVIEW;</w:t>
      </w: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DEAL JACKET REVIEW;</w:t>
      </w: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BEST PRACTICES AND STRATEGY;</w:t>
      </w: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DEMONSTRABLE COMPLIANCE MANAGEMENT SYSTEM;</w:t>
      </w: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COMPLAINT MANAGEMENT;</w:t>
      </w:r>
    </w:p>
    <w:p w:rsidR="00FF3591" w:rsidRPr="00F47D73" w:rsidRDefault="00FF3591" w:rsidP="00FF3591">
      <w:pPr>
        <w:jc w:val="center"/>
        <w:rPr>
          <w:rFonts w:ascii="Times New Roman" w:hAnsi="Times New Roman" w:cs="Times New Roman"/>
          <w:b/>
          <w:sz w:val="28"/>
          <w:szCs w:val="28"/>
        </w:rPr>
      </w:pPr>
      <w:r w:rsidRPr="00F47D73">
        <w:rPr>
          <w:rFonts w:ascii="Times New Roman" w:hAnsi="Times New Roman" w:cs="Times New Roman"/>
          <w:b/>
          <w:sz w:val="28"/>
          <w:szCs w:val="28"/>
        </w:rPr>
        <w:t>AND MORE</w:t>
      </w:r>
      <w:r w:rsidR="00F47D73" w:rsidRPr="00F47D73">
        <w:rPr>
          <w:rFonts w:ascii="Times New Roman" w:hAnsi="Times New Roman" w:cs="Times New Roman"/>
          <w:b/>
          <w:sz w:val="28"/>
          <w:szCs w:val="28"/>
        </w:rPr>
        <w:t>.</w:t>
      </w:r>
    </w:p>
    <w:p w:rsidR="00FF3591" w:rsidRDefault="00FF3591" w:rsidP="00FF3591">
      <w:pPr>
        <w:jc w:val="center"/>
        <w:rPr>
          <w:rFonts w:ascii="Times New Roman" w:hAnsi="Times New Roman" w:cs="Times New Roman"/>
          <w:b/>
          <w:sz w:val="24"/>
          <w:szCs w:val="24"/>
        </w:rPr>
      </w:pPr>
    </w:p>
    <w:p w:rsidR="00F47D73" w:rsidRDefault="00F47D73" w:rsidP="00FF3591">
      <w:pPr>
        <w:jc w:val="center"/>
        <w:rPr>
          <w:rFonts w:ascii="Times New Roman" w:hAnsi="Times New Roman" w:cs="Times New Roman"/>
          <w:b/>
          <w:sz w:val="36"/>
          <w:szCs w:val="36"/>
        </w:rPr>
      </w:pPr>
      <w:r w:rsidRPr="00F47D73">
        <w:rPr>
          <w:rFonts w:ascii="Times New Roman" w:hAnsi="Times New Roman" w:cs="Times New Roman"/>
          <w:b/>
          <w:sz w:val="36"/>
          <w:szCs w:val="36"/>
        </w:rPr>
        <w:t>OUTSOURCE</w:t>
      </w:r>
      <w:r>
        <w:rPr>
          <w:rFonts w:ascii="Times New Roman" w:hAnsi="Times New Roman" w:cs="Times New Roman"/>
          <w:b/>
          <w:sz w:val="36"/>
          <w:szCs w:val="36"/>
        </w:rPr>
        <w:t xml:space="preserve"> YOUR COMPLIANCE</w:t>
      </w:r>
    </w:p>
    <w:p w:rsidR="00FB524D" w:rsidRDefault="00F47D73" w:rsidP="00F47D73">
      <w:pPr>
        <w:jc w:val="center"/>
      </w:pPr>
      <w:r w:rsidRPr="00F47D73">
        <w:rPr>
          <w:rFonts w:ascii="Times New Roman" w:hAnsi="Times New Roman" w:cs="Times New Roman"/>
          <w:b/>
          <w:sz w:val="36"/>
          <w:szCs w:val="36"/>
        </w:rPr>
        <w:t>GET BACK TO BUSINESS</w:t>
      </w:r>
      <w:r>
        <w:rPr>
          <w:rFonts w:ascii="Times New Roman" w:hAnsi="Times New Roman" w:cs="Times New Roman"/>
          <w:b/>
          <w:sz w:val="36"/>
          <w:szCs w:val="36"/>
        </w:rPr>
        <w:t>!</w:t>
      </w:r>
      <w:hyperlink r:id="rId9"/>
      <w:hyperlink r:id="rId10"/>
    </w:p>
    <w:sectPr w:rsidR="00FB524D">
      <w:headerReference w:type="default" r:id="rId11"/>
      <w:footerReference w:type="default" r:id="rId12"/>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B23" w:rsidRDefault="00772B23">
      <w:pPr>
        <w:spacing w:line="240" w:lineRule="auto"/>
      </w:pPr>
      <w:r>
        <w:separator/>
      </w:r>
    </w:p>
  </w:endnote>
  <w:endnote w:type="continuationSeparator" w:id="0">
    <w:p w:rsidR="00772B23" w:rsidRDefault="00772B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524D" w:rsidRDefault="001434BC">
    <w:pPr>
      <w:ind w:left="-1440" w:right="-1440"/>
      <w:jc w:val="center"/>
      <w:rPr>
        <w:b/>
        <w:color w:val="FF9900"/>
        <w:sz w:val="20"/>
        <w:szCs w:val="20"/>
        <w:highlight w:val="white"/>
      </w:rPr>
    </w:pPr>
    <w:r>
      <w:rPr>
        <w:noProof/>
      </w:rPr>
      <w:drawing>
        <wp:inline distT="114300" distB="114300" distL="114300" distR="114300">
          <wp:extent cx="7891463" cy="190500"/>
          <wp:effectExtent l="0" t="0" r="0" b="0"/>
          <wp:docPr id="2" name="image4.jpg" descr="Gradient Banner.jpg"/>
          <wp:cNvGraphicFramePr/>
          <a:graphic xmlns:a="http://schemas.openxmlformats.org/drawingml/2006/main">
            <a:graphicData uri="http://schemas.openxmlformats.org/drawingml/2006/picture">
              <pic:pic xmlns:pic="http://schemas.openxmlformats.org/drawingml/2006/picture">
                <pic:nvPicPr>
                  <pic:cNvPr id="0" name="image4.jpg" descr="Gradient Banner.jpg"/>
                  <pic:cNvPicPr preferRelativeResize="0"/>
                </pic:nvPicPr>
                <pic:blipFill>
                  <a:blip r:embed="rId1"/>
                  <a:srcRect/>
                  <a:stretch>
                    <a:fillRect/>
                  </a:stretch>
                </pic:blipFill>
                <pic:spPr>
                  <a:xfrm>
                    <a:off x="0" y="0"/>
                    <a:ext cx="7891463" cy="190500"/>
                  </a:xfrm>
                  <a:prstGeom prst="rect">
                    <a:avLst/>
                  </a:prstGeom>
                  <a:ln/>
                </pic:spPr>
              </pic:pic>
            </a:graphicData>
          </a:graphic>
        </wp:inline>
      </w:drawing>
    </w:r>
  </w:p>
  <w:p w:rsidR="00FB524D" w:rsidRDefault="001434BC">
    <w:pPr>
      <w:ind w:left="-1440" w:right="-1440"/>
      <w:jc w:val="center"/>
      <w:rPr>
        <w:color w:val="FF9900"/>
      </w:rPr>
    </w:pPr>
    <w:r>
      <w:rPr>
        <w:b/>
        <w:color w:val="FF9900"/>
        <w:sz w:val="20"/>
        <w:szCs w:val="20"/>
        <w:highlight w:val="white"/>
      </w:rPr>
      <w:t>ignitecp.com</w:t>
    </w:r>
    <w:r>
      <w:rPr>
        <w:b/>
        <w:color w:val="777777"/>
        <w:sz w:val="20"/>
        <w:szCs w:val="20"/>
        <w:highlight w:val="white"/>
      </w:rPr>
      <w:t xml:space="preserve"> | 301 Commerce St., Ste. 2360, Fort Worth, TX, 76102 | </w:t>
    </w:r>
    <w:r w:rsidR="007870F8">
      <w:rPr>
        <w:b/>
        <w:color w:val="FF9900"/>
        <w:sz w:val="20"/>
        <w:szCs w:val="20"/>
        <w:highlight w:val="white"/>
      </w:rPr>
      <w:t>P: 817 841 8255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B23" w:rsidRDefault="00772B23">
      <w:pPr>
        <w:spacing w:line="240" w:lineRule="auto"/>
      </w:pPr>
      <w:r>
        <w:separator/>
      </w:r>
    </w:p>
  </w:footnote>
  <w:footnote w:type="continuationSeparator" w:id="0">
    <w:p w:rsidR="00772B23" w:rsidRDefault="00772B2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524D" w:rsidRDefault="00FB524D">
    <w:pPr>
      <w:jc w:val="center"/>
    </w:pPr>
  </w:p>
  <w:p w:rsidR="00FB524D" w:rsidRDefault="00FB524D">
    <w:pPr>
      <w:jc w:val="center"/>
    </w:pPr>
  </w:p>
  <w:p w:rsidR="00FB524D" w:rsidRDefault="001434BC">
    <w:pPr>
      <w:jc w:val="center"/>
      <w:rPr>
        <w:shd w:val="clear" w:color="auto" w:fill="EFEFEF"/>
      </w:rPr>
    </w:pPr>
    <w:r>
      <w:rPr>
        <w:noProof/>
      </w:rPr>
      <w:drawing>
        <wp:inline distT="114300" distB="114300" distL="114300" distR="114300">
          <wp:extent cx="2543175" cy="869096"/>
          <wp:effectExtent l="0" t="0" r="0" b="0"/>
          <wp:docPr id="1" name="image3.png" descr="SATR Ignite Consulting Partners Logo CLR.PNG"/>
          <wp:cNvGraphicFramePr/>
          <a:graphic xmlns:a="http://schemas.openxmlformats.org/drawingml/2006/main">
            <a:graphicData uri="http://schemas.openxmlformats.org/drawingml/2006/picture">
              <pic:pic xmlns:pic="http://schemas.openxmlformats.org/drawingml/2006/picture">
                <pic:nvPicPr>
                  <pic:cNvPr id="0" name="image3.png" descr="SATR Ignite Consulting Partners Logo CLR.PNG"/>
                  <pic:cNvPicPr preferRelativeResize="0"/>
                </pic:nvPicPr>
                <pic:blipFill>
                  <a:blip r:embed="rId1"/>
                  <a:srcRect/>
                  <a:stretch>
                    <a:fillRect/>
                  </a:stretch>
                </pic:blipFill>
                <pic:spPr>
                  <a:xfrm>
                    <a:off x="0" y="0"/>
                    <a:ext cx="2543175" cy="869096"/>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C94A01"/>
    <w:multiLevelType w:val="hybridMultilevel"/>
    <w:tmpl w:val="D528FC60"/>
    <w:lvl w:ilvl="0" w:tplc="04090001">
      <w:start w:val="1"/>
      <w:numFmt w:val="bullet"/>
      <w:lvlText w:val=""/>
      <w:lvlJc w:val="left"/>
      <w:pPr>
        <w:ind w:left="720" w:hanging="360"/>
      </w:pPr>
      <w:rPr>
        <w:rFonts w:ascii="Symbol" w:hAnsi="Symbol" w:hint="default"/>
      </w:rPr>
    </w:lvl>
    <w:lvl w:ilvl="1" w:tplc="04090003">
      <w:start w:val="1"/>
      <w:numFmt w:val="bullet"/>
      <w:lvlText w:val=""/>
      <w:lvlJc w:val="left"/>
      <w:pPr>
        <w:ind w:left="1440" w:hanging="360"/>
      </w:pPr>
      <w:rPr>
        <w:rFonts w:ascii="Symbol" w:hAnsi="Symbol" w:hint="default"/>
      </w:rPr>
    </w:lvl>
    <w:lvl w:ilvl="2" w:tplc="04090005">
      <w:start w:val="1"/>
      <w:numFmt w:val="decimal"/>
      <w:lvlText w:val="%3."/>
      <w:lvlJc w:val="left"/>
      <w:pPr>
        <w:ind w:left="2160" w:hanging="360"/>
      </w:p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24D"/>
    <w:rsid w:val="001434BC"/>
    <w:rsid w:val="00772B23"/>
    <w:rsid w:val="007870F8"/>
    <w:rsid w:val="00E86AAB"/>
    <w:rsid w:val="00F47D73"/>
    <w:rsid w:val="00FB524D"/>
    <w:rsid w:val="00FF3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0BFB4E-ABBF-4ABC-8939-631DCD2C2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7870F8"/>
    <w:pPr>
      <w:tabs>
        <w:tab w:val="center" w:pos="4680"/>
        <w:tab w:val="right" w:pos="9360"/>
      </w:tabs>
      <w:spacing w:line="240" w:lineRule="auto"/>
    </w:pPr>
  </w:style>
  <w:style w:type="character" w:customStyle="1" w:styleId="HeaderChar">
    <w:name w:val="Header Char"/>
    <w:basedOn w:val="DefaultParagraphFont"/>
    <w:link w:val="Header"/>
    <w:uiPriority w:val="99"/>
    <w:rsid w:val="007870F8"/>
  </w:style>
  <w:style w:type="paragraph" w:styleId="Footer">
    <w:name w:val="footer"/>
    <w:basedOn w:val="Normal"/>
    <w:link w:val="FooterChar"/>
    <w:uiPriority w:val="99"/>
    <w:unhideWhenUsed/>
    <w:rsid w:val="007870F8"/>
    <w:pPr>
      <w:tabs>
        <w:tab w:val="center" w:pos="4680"/>
        <w:tab w:val="right" w:pos="9360"/>
      </w:tabs>
      <w:spacing w:line="240" w:lineRule="auto"/>
    </w:pPr>
  </w:style>
  <w:style w:type="character" w:customStyle="1" w:styleId="FooterChar">
    <w:name w:val="Footer Char"/>
    <w:basedOn w:val="DefaultParagraphFont"/>
    <w:link w:val="Footer"/>
    <w:uiPriority w:val="99"/>
    <w:rsid w:val="007870F8"/>
  </w:style>
  <w:style w:type="character" w:styleId="Hyperlink">
    <w:name w:val="Hyperlink"/>
    <w:basedOn w:val="DefaultParagraphFont"/>
    <w:uiPriority w:val="99"/>
    <w:unhideWhenUsed/>
    <w:rsid w:val="00FF35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62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teve.Levine@IgniteCP.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igniteconsultingpartners.com/" TargetMode="External"/><Relationship Id="rId4" Type="http://schemas.openxmlformats.org/officeDocument/2006/relationships/settings" Target="settings.xml"/><Relationship Id="rId9" Type="http://schemas.openxmlformats.org/officeDocument/2006/relationships/hyperlink" Target="http://www.igniteconsultingpartners.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A5C7FD-F5E9-4E39-B951-D40307336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1231</Words>
  <Characters>7021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Levine</dc:creator>
  <cp:lastModifiedBy>Steve Levine</cp:lastModifiedBy>
  <cp:revision>3</cp:revision>
  <dcterms:created xsi:type="dcterms:W3CDTF">2017-05-16T22:06:00Z</dcterms:created>
  <dcterms:modified xsi:type="dcterms:W3CDTF">2017-05-17T15:04:00Z</dcterms:modified>
</cp:coreProperties>
</file>